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黑体" w:eastAsia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江苏城市职业学院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val="en-US" w:eastAsia="zh-CN"/>
        </w:rPr>
        <w:t>2017</w:t>
      </w:r>
      <w:r>
        <w:rPr>
          <w:rFonts w:hint="eastAsia" w:ascii="黑体" w:hAnsi="宋体" w:eastAsia="黑体"/>
          <w:b/>
          <w:bCs/>
          <w:sz w:val="32"/>
          <w:szCs w:val="32"/>
        </w:rPr>
        <w:t>年</w:t>
      </w:r>
      <w:r>
        <w:rPr>
          <w:rFonts w:hint="eastAsia" w:ascii="黑体" w:eastAsia="黑体"/>
          <w:b/>
          <w:bCs/>
          <w:color w:val="000000"/>
          <w:kern w:val="0"/>
          <w:sz w:val="32"/>
          <w:szCs w:val="32"/>
          <w:lang w:eastAsia="zh-CN"/>
        </w:rPr>
        <w:t>星级学生社团</w:t>
      </w:r>
      <w:r>
        <w:rPr>
          <w:rFonts w:hint="eastAsia" w:ascii="黑体" w:eastAsia="黑体"/>
          <w:b/>
          <w:bCs/>
          <w:color w:val="000000"/>
          <w:kern w:val="0"/>
          <w:sz w:val="32"/>
          <w:szCs w:val="32"/>
        </w:rPr>
        <w:t>和优秀学生社团干部</w:t>
      </w:r>
      <w:r>
        <w:rPr>
          <w:rFonts w:hint="eastAsia" w:ascii="黑体" w:eastAsia="黑体"/>
          <w:b/>
          <w:bCs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黑体" w:eastAsia="黑体"/>
          <w:b/>
          <w:bCs/>
          <w:color w:val="000000"/>
          <w:kern w:val="0"/>
          <w:sz w:val="32"/>
          <w:szCs w:val="32"/>
        </w:rPr>
        <w:t>优秀学生社团</w:t>
      </w:r>
      <w:r>
        <w:rPr>
          <w:rFonts w:hint="eastAsia" w:ascii="黑体" w:eastAsia="黑体"/>
          <w:b/>
          <w:bCs/>
          <w:color w:val="000000"/>
          <w:kern w:val="0"/>
          <w:sz w:val="32"/>
          <w:szCs w:val="32"/>
          <w:lang w:eastAsia="zh-CN"/>
        </w:rPr>
        <w:t>干事</w:t>
      </w:r>
      <w:r>
        <w:rPr>
          <w:rFonts w:hint="eastAsia" w:ascii="黑体" w:eastAsia="黑体"/>
          <w:b/>
          <w:bCs/>
          <w:color w:val="000000"/>
          <w:kern w:val="0"/>
          <w:sz w:val="32"/>
          <w:szCs w:val="32"/>
        </w:rPr>
        <w:t>申报情况汇总表</w:t>
      </w:r>
    </w:p>
    <w:bookmarkEnd w:id="0"/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学院（盖章）：</w:t>
      </w:r>
      <w:r>
        <w:rPr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                          </w:t>
      </w:r>
      <w:r>
        <w:rPr>
          <w:sz w:val="24"/>
        </w:rPr>
        <w:t xml:space="preserve">                  </w:t>
      </w:r>
    </w:p>
    <w:tbl>
      <w:tblPr>
        <w:tblStyle w:val="3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6"/>
        <w:gridCol w:w="2576"/>
        <w:gridCol w:w="2415"/>
        <w:gridCol w:w="18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类别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学生社团名称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学生社团负责人姓名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星级</w:t>
            </w:r>
          </w:p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学生社团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优秀学生社团干部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务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优秀学生社团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干事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请根据本表的序号整理按《</w:t>
      </w:r>
      <w:r>
        <w:rPr>
          <w:rFonts w:hint="eastAsia" w:ascii="宋体" w:hAnsi="宋体"/>
          <w:sz w:val="24"/>
          <w:lang w:eastAsia="zh-CN"/>
        </w:rPr>
        <w:t>江苏城市职业学院</w:t>
      </w:r>
      <w:r>
        <w:rPr>
          <w:rFonts w:hint="eastAsia" w:ascii="宋体" w:hAnsi="宋体"/>
          <w:sz w:val="24"/>
          <w:lang w:val="en-US" w:eastAsia="zh-CN"/>
        </w:rPr>
        <w:t>2017</w:t>
      </w:r>
      <w:r>
        <w:rPr>
          <w:rFonts w:hint="eastAsia" w:ascii="宋体" w:hAnsi="宋体"/>
          <w:sz w:val="24"/>
          <w:lang w:eastAsia="zh-CN"/>
        </w:rPr>
        <w:t>年星级学生社团</w:t>
      </w:r>
      <w:r>
        <w:rPr>
          <w:rFonts w:hint="eastAsia" w:ascii="宋体" w:hAnsi="宋体"/>
          <w:sz w:val="24"/>
        </w:rPr>
        <w:t>申报表》、《</w:t>
      </w:r>
      <w:r>
        <w:rPr>
          <w:rFonts w:hint="eastAsia" w:ascii="宋体" w:hAnsi="宋体"/>
          <w:sz w:val="24"/>
          <w:lang w:eastAsia="zh-CN"/>
        </w:rPr>
        <w:t>江苏城市职业学院</w:t>
      </w:r>
      <w:r>
        <w:rPr>
          <w:rFonts w:hint="eastAsia" w:ascii="宋体" w:hAnsi="宋体"/>
          <w:sz w:val="24"/>
          <w:lang w:val="en-US" w:eastAsia="zh-CN"/>
        </w:rPr>
        <w:t>2017</w:t>
      </w:r>
      <w:r>
        <w:rPr>
          <w:rFonts w:hint="eastAsia" w:ascii="宋体" w:hAnsi="宋体"/>
          <w:sz w:val="24"/>
        </w:rPr>
        <w:t>年优秀学生社团干部</w:t>
      </w:r>
      <w:r>
        <w:rPr>
          <w:rFonts w:hint="eastAsia" w:ascii="宋体" w:hAnsi="宋体"/>
          <w:sz w:val="24"/>
          <w:lang w:eastAsia="zh-CN"/>
        </w:rPr>
        <w:t>及优秀学生干事申报</w:t>
      </w:r>
      <w:r>
        <w:rPr>
          <w:rFonts w:hint="eastAsia" w:ascii="宋体" w:hAnsi="宋体"/>
          <w:sz w:val="24"/>
        </w:rPr>
        <w:t>表》顺序。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69A4"/>
    <w:rsid w:val="78116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2017-12-04T02:36:00Z</dcterms:created>
  <dc:creator>费杨</dc:creator>
  <cp:lastModifiedBy>费杨</cp:lastModifiedBy>
  <dcterms:modified xsi:type="dcterms:W3CDTF">2017-12-04T02:37:16Z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