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附件八：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201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28"/>
          <w:szCs w:val="28"/>
        </w:rPr>
        <w:t>学年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江苏城市职业学院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各学院优秀学生会干部、优秀学生会干事申报名额分配</w:t>
      </w:r>
    </w:p>
    <w:p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</w:p>
    <w:tbl>
      <w:tblPr>
        <w:tblStyle w:val="3"/>
        <w:tblW w:w="8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265"/>
        <w:gridCol w:w="1953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优秀学生会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干部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优秀学生会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建筑工程学院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环境与生态学院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信息与机电工程学院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传媒与设计学院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国际教育学院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健康与养老教育学院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1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B3759"/>
    <w:rsid w:val="03FB6BEB"/>
    <w:rsid w:val="1FFB3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2017-11-29T06:46:00Z</dcterms:created>
  <dc:creator>费杨</dc:creator>
  <cp:lastModifiedBy>费杨</cp:lastModifiedBy>
  <dcterms:modified xsi:type="dcterms:W3CDTF">2017-11-30T09:00:14Z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